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C67">
      <w:pPr>
        <w:pStyle w:val="Nadpis1"/>
        <w:jc w:val="both"/>
        <w:rPr>
          <w:rFonts w:ascii="Calibri" w:hAnsi="Calibri"/>
          <w:color w:val="FF0000"/>
        </w:rPr>
      </w:pPr>
    </w:p>
    <w:p w:rsidR="00000000" w:rsidRDefault="001B6EA3">
      <w:pPr>
        <w:pStyle w:val="Nadpis1"/>
        <w:jc w:val="both"/>
        <w:rPr>
          <w:rFonts w:ascii="Calibri" w:hAnsi="Calibri"/>
          <w:color w:val="FF0000"/>
        </w:rPr>
      </w:pPr>
      <w:r w:rsidRPr="001B6EA3">
        <w:rPr>
          <w:rFonts w:ascii="Calibri" w:hAnsi="Calibri"/>
          <w:color w:val="FF0000"/>
        </w:rPr>
        <w:t>Čistý objem trhu reklamy v místě prodeje v roce 2014 je odhadován na 6,3 miliardy Kč.</w:t>
      </w:r>
    </w:p>
    <w:p w:rsidR="00000000" w:rsidRDefault="009B1C67">
      <w:pPr>
        <w:jc w:val="both"/>
      </w:pPr>
    </w:p>
    <w:p w:rsidR="00000000" w:rsidRDefault="00391184">
      <w:pPr>
        <w:ind w:firstLine="708"/>
        <w:jc w:val="both"/>
        <w:rPr>
          <w:b/>
          <w:i/>
        </w:rPr>
      </w:pPr>
      <w:r w:rsidRPr="0011513D">
        <w:rPr>
          <w:b/>
          <w:i/>
        </w:rPr>
        <w:t xml:space="preserve">Asociace reklamy v místě prodeje POPAI ve spolupráci s mediální agenturou OMD Czech </w:t>
      </w:r>
      <w:r w:rsidR="001C5FAA">
        <w:rPr>
          <w:b/>
          <w:i/>
        </w:rPr>
        <w:t xml:space="preserve">již pátým rokem </w:t>
      </w:r>
      <w:r w:rsidRPr="0011513D">
        <w:rPr>
          <w:b/>
          <w:i/>
        </w:rPr>
        <w:t xml:space="preserve">zveřejňuje výsledky monitoringu </w:t>
      </w:r>
      <w:r w:rsidR="0003783D">
        <w:rPr>
          <w:b/>
          <w:i/>
        </w:rPr>
        <w:t xml:space="preserve">investic do produkce </w:t>
      </w:r>
      <w:r w:rsidRPr="0011513D">
        <w:rPr>
          <w:b/>
          <w:i/>
        </w:rPr>
        <w:t>reklamy v místě prodeje. K dispozici jsou tak v </w:t>
      </w:r>
      <w:r w:rsidR="001C5FAA">
        <w:rPr>
          <w:b/>
          <w:i/>
        </w:rPr>
        <w:t>Česku</w:t>
      </w:r>
      <w:r w:rsidRPr="0011513D">
        <w:rPr>
          <w:b/>
          <w:i/>
        </w:rPr>
        <w:t xml:space="preserve"> informace o objemu investic do výroby reklamy v místě prodeje </w:t>
      </w:r>
      <w:r w:rsidR="001C5FAA">
        <w:rPr>
          <w:b/>
          <w:i/>
        </w:rPr>
        <w:t>v letech</w:t>
      </w:r>
      <w:r w:rsidR="00C01AE9">
        <w:rPr>
          <w:b/>
          <w:i/>
        </w:rPr>
        <w:t xml:space="preserve"> 2010</w:t>
      </w:r>
      <w:r w:rsidR="00A71F10">
        <w:rPr>
          <w:b/>
          <w:i/>
        </w:rPr>
        <w:t xml:space="preserve"> - </w:t>
      </w:r>
      <w:r w:rsidR="00C01AE9">
        <w:rPr>
          <w:b/>
          <w:i/>
        </w:rPr>
        <w:t>201</w:t>
      </w:r>
      <w:r w:rsidR="005A23FF">
        <w:rPr>
          <w:b/>
          <w:i/>
        </w:rPr>
        <w:t>4</w:t>
      </w:r>
      <w:r w:rsidRPr="0011513D">
        <w:rPr>
          <w:b/>
          <w:i/>
        </w:rPr>
        <w:t xml:space="preserve"> a také informace o jejich struktuře.</w:t>
      </w:r>
    </w:p>
    <w:p w:rsidR="00000000" w:rsidRDefault="009B1C67">
      <w:pPr>
        <w:pStyle w:val="Nadpis1"/>
        <w:jc w:val="both"/>
        <w:rPr>
          <w:rFonts w:ascii="Calibri" w:hAnsi="Calibri"/>
          <w:color w:val="FF0000"/>
        </w:rPr>
      </w:pPr>
    </w:p>
    <w:p w:rsidR="00000000" w:rsidRDefault="001B6EA3">
      <w:pPr>
        <w:pStyle w:val="Nadpis1"/>
        <w:jc w:val="both"/>
        <w:rPr>
          <w:rFonts w:ascii="Calibri" w:hAnsi="Calibri"/>
          <w:color w:val="FF0000"/>
        </w:rPr>
      </w:pPr>
      <w:r w:rsidRPr="001B6EA3">
        <w:rPr>
          <w:rFonts w:ascii="Calibri" w:hAnsi="Calibri"/>
          <w:color w:val="FF0000"/>
        </w:rPr>
        <w:t>Objem trhu</w:t>
      </w:r>
      <w:r w:rsidRPr="001B6EA3">
        <w:rPr>
          <w:rFonts w:ascii="Calibri" w:hAnsi="Calibri"/>
          <w:color w:val="FF0000"/>
        </w:rPr>
        <w:tab/>
      </w:r>
    </w:p>
    <w:p w:rsidR="00000000" w:rsidRDefault="00391184">
      <w:pPr>
        <w:ind w:firstLine="708"/>
        <w:jc w:val="both"/>
      </w:pPr>
      <w:r w:rsidRPr="0011513D">
        <w:t xml:space="preserve">Informace o každém trhu jsou nutným předpokladem k základní orientaci na něm a kultivují tak podnikatelské prostředí v oboru. Úkolu data </w:t>
      </w:r>
      <w:r w:rsidRPr="00014541">
        <w:t xml:space="preserve">sesbírat a publikovat </w:t>
      </w:r>
      <w:r w:rsidRPr="0011513D">
        <w:t xml:space="preserve">za český trh reklamy v místě prodeje se ujala POPAI CE (oborová asociace sdružující společnosti působící na trhu in-store komunikace) v úzké spolupráci s mediální agenturou </w:t>
      </w:r>
      <w:r w:rsidRPr="00014541">
        <w:t xml:space="preserve">roku </w:t>
      </w:r>
      <w:r w:rsidRPr="0011513D">
        <w:t>OMD Czech.</w:t>
      </w:r>
    </w:p>
    <w:p w:rsidR="00000000" w:rsidRDefault="00391184">
      <w:pPr>
        <w:jc w:val="both"/>
      </w:pPr>
      <w:r w:rsidRPr="0011513D">
        <w:tab/>
        <w:t>Sběr dat probíhá kontinuálně od jara roku 2011</w:t>
      </w:r>
      <w:r>
        <w:t xml:space="preserve"> </w:t>
      </w:r>
      <w:r w:rsidRPr="0011513D">
        <w:t xml:space="preserve">na třech různých úrovních, které měly za cíl komplexně zmapovat </w:t>
      </w:r>
      <w:r>
        <w:t xml:space="preserve">investice do produkce </w:t>
      </w:r>
      <w:r w:rsidRPr="0011513D">
        <w:t>reklam</w:t>
      </w:r>
      <w:r>
        <w:t xml:space="preserve">ních médií </w:t>
      </w:r>
      <w:r w:rsidRPr="0011513D">
        <w:t xml:space="preserve">v místě prodeje. </w:t>
      </w:r>
      <w:r w:rsidRPr="00014541">
        <w:t>Monitoring přitom značně komplikuje skutečnost, že v marketingu na místech prodeje se aktivně p</w:t>
      </w:r>
      <w:r w:rsidR="001C5FAA">
        <w:t>ohybují stovky společností;</w:t>
      </w:r>
      <w:r w:rsidRPr="00014541">
        <w:t xml:space="preserve"> zejména menší společnosti jen nepravidelně</w:t>
      </w:r>
      <w:r w:rsidR="001C5FAA">
        <w:t>,</w:t>
      </w:r>
      <w:r w:rsidRPr="00014541">
        <w:t xml:space="preserve"> na projektové bázi.</w:t>
      </w:r>
      <w:r w:rsidRPr="00C2633B">
        <w:t xml:space="preserve"> </w:t>
      </w:r>
      <w:r w:rsidRPr="0011513D">
        <w:t xml:space="preserve">Objemem trhu </w:t>
      </w:r>
      <w:r w:rsidR="001C5FAA">
        <w:t xml:space="preserve">reklamy </w:t>
      </w:r>
      <w:r w:rsidRPr="0011513D">
        <w:t xml:space="preserve">rozumíme finanční objem reprezentovaný reklamními nosiči vyrobenými společnostmi se sídlem v ČR a objemem dovezených </w:t>
      </w:r>
      <w:r w:rsidR="00B51BF3">
        <w:t>POP</w:t>
      </w:r>
      <w:r w:rsidRPr="0011513D">
        <w:t xml:space="preserve"> prostředků ze zahraničí. </w:t>
      </w:r>
    </w:p>
    <w:p w:rsidR="00000000" w:rsidRDefault="00C01AE9">
      <w:pPr>
        <w:jc w:val="both"/>
      </w:pPr>
      <w:r>
        <w:t xml:space="preserve">                </w:t>
      </w:r>
      <w:r w:rsidR="00391184" w:rsidRPr="0011513D">
        <w:t>První úrovní sběru dat jsou deklarované čisté (Net</w:t>
      </w:r>
      <w:r w:rsidR="006867EE">
        <w:t xml:space="preserve"> </w:t>
      </w:r>
      <w:r w:rsidR="00391184" w:rsidRPr="0011513D">
        <w:t>Net) finanční objemy členů asociace POPAI, realizované za kalendářní roky 2010 až 201</w:t>
      </w:r>
      <w:r w:rsidR="005A23FF">
        <w:t>4</w:t>
      </w:r>
      <w:r w:rsidR="00391184" w:rsidRPr="0011513D">
        <w:t xml:space="preserve"> bez DPH.</w:t>
      </w:r>
      <w:r w:rsidR="0003783D">
        <w:t xml:space="preserve"> V aktuálním roce dochází vždy k monitoringu toho loňského, proto jsou níže prezentována data za 2014. Během roku 2016 bude monitorován rok 2015.</w:t>
      </w:r>
      <w:r w:rsidR="00391184" w:rsidRPr="0011513D">
        <w:t xml:space="preserve"> Jelikož tato citlivá data mají důvěrnou povahu, jejich sběru a agregování se jako nezávislý subjekt ujalo výzkumné oddělení OMG Research mediální agentury OMD Czech. Do této úrovně monitoringu bylo nakonec zařazeno celkem </w:t>
      </w:r>
      <w:r w:rsidR="00391184" w:rsidRPr="00003DBE">
        <w:t>1</w:t>
      </w:r>
      <w:r w:rsidR="00AA5123">
        <w:t>6</w:t>
      </w:r>
      <w:r w:rsidR="00391184" w:rsidRPr="00235C6D">
        <w:rPr>
          <w:b/>
        </w:rPr>
        <w:t xml:space="preserve"> </w:t>
      </w:r>
      <w:r w:rsidR="00391184" w:rsidRPr="0011513D">
        <w:t xml:space="preserve">nejvýznamnějších hráčů na trhu. </w:t>
      </w:r>
      <w:r w:rsidR="006E5B76" w:rsidRPr="006E5B76">
        <w:rPr>
          <w:b/>
        </w:rPr>
        <w:t>Do monitoringu každý rok vstupoval jiný počet subjektů.</w:t>
      </w:r>
      <w:r w:rsidR="00391184" w:rsidRPr="0011513D">
        <w:t xml:space="preserve"> Z důvodu kontinuity dat</w:t>
      </w:r>
      <w:r w:rsidR="001C5FAA">
        <w:t xml:space="preserve"> a relevantního srovnání</w:t>
      </w:r>
      <w:r w:rsidR="00391184" w:rsidRPr="0011513D">
        <w:t xml:space="preserve"> byli ponecháni jen ti, kteří dodali výsledky za celé </w:t>
      </w:r>
      <w:r>
        <w:t xml:space="preserve">sledované </w:t>
      </w:r>
      <w:r w:rsidR="00391184" w:rsidRPr="0011513D">
        <w:t xml:space="preserve">období </w:t>
      </w:r>
      <w:r>
        <w:t xml:space="preserve">čtyř </w:t>
      </w:r>
      <w:r w:rsidR="00391184" w:rsidRPr="0011513D">
        <w:t>let</w:t>
      </w:r>
      <w:r w:rsidR="00003DBE">
        <w:t xml:space="preserve"> (</w:t>
      </w:r>
      <w:r w:rsidR="00195D44">
        <w:t xml:space="preserve">případně </w:t>
      </w:r>
      <w:r w:rsidR="00003DBE">
        <w:t>jejich následnické firmy)</w:t>
      </w:r>
      <w:r w:rsidR="00391184" w:rsidRPr="0011513D">
        <w:t xml:space="preserve">. </w:t>
      </w:r>
      <w:r w:rsidR="006E5B76" w:rsidRPr="006E5B76">
        <w:rPr>
          <w:b/>
        </w:rPr>
        <w:t>Tyto subjekty deklarují v roce 201</w:t>
      </w:r>
      <w:r w:rsidR="005A23FF">
        <w:rPr>
          <w:b/>
        </w:rPr>
        <w:t>4</w:t>
      </w:r>
      <w:r w:rsidR="006E5B76" w:rsidRPr="006E5B76">
        <w:rPr>
          <w:b/>
        </w:rPr>
        <w:t xml:space="preserve"> objem 1,</w:t>
      </w:r>
      <w:r w:rsidR="0062174B">
        <w:rPr>
          <w:b/>
        </w:rPr>
        <w:t>496</w:t>
      </w:r>
      <w:r w:rsidR="0062174B" w:rsidRPr="006E5B76">
        <w:rPr>
          <w:b/>
        </w:rPr>
        <w:t xml:space="preserve"> </w:t>
      </w:r>
      <w:r w:rsidR="006E5B76" w:rsidRPr="006E5B76">
        <w:rPr>
          <w:b/>
        </w:rPr>
        <w:t>miliardy Kč realizovaných v </w:t>
      </w:r>
      <w:r w:rsidR="00B51BF3">
        <w:rPr>
          <w:b/>
        </w:rPr>
        <w:t>POP</w:t>
      </w:r>
      <w:r w:rsidR="006E5B76" w:rsidRPr="006E5B76">
        <w:rPr>
          <w:b/>
        </w:rPr>
        <w:t xml:space="preserve">. To je </w:t>
      </w:r>
      <w:r w:rsidR="0062174B">
        <w:rPr>
          <w:b/>
        </w:rPr>
        <w:t>o 7</w:t>
      </w:r>
      <w:r w:rsidR="00403E01">
        <w:rPr>
          <w:b/>
        </w:rPr>
        <w:t xml:space="preserve"> </w:t>
      </w:r>
      <w:r w:rsidR="0062174B">
        <w:rPr>
          <w:b/>
        </w:rPr>
        <w:t xml:space="preserve">% vyšší </w:t>
      </w:r>
      <w:r w:rsidR="006E5B76" w:rsidRPr="006E5B76">
        <w:rPr>
          <w:b/>
        </w:rPr>
        <w:t xml:space="preserve"> hodnota </w:t>
      </w:r>
      <w:r w:rsidR="005956EB" w:rsidRPr="006E5B76">
        <w:rPr>
          <w:b/>
        </w:rPr>
        <w:t>ne</w:t>
      </w:r>
      <w:r w:rsidR="005956EB">
        <w:rPr>
          <w:b/>
        </w:rPr>
        <w:t>ž v</w:t>
      </w:r>
      <w:r w:rsidR="006E5B76" w:rsidRPr="006E5B76">
        <w:rPr>
          <w:b/>
        </w:rPr>
        <w:t> roce 201</w:t>
      </w:r>
      <w:r w:rsidR="0062174B">
        <w:rPr>
          <w:b/>
        </w:rPr>
        <w:t>4</w:t>
      </w:r>
      <w:r w:rsidR="006E5B76" w:rsidRPr="006E5B76">
        <w:rPr>
          <w:b/>
        </w:rPr>
        <w:t>.</w:t>
      </w:r>
      <w:r w:rsidR="00C033F4">
        <w:t xml:space="preserve"> </w:t>
      </w:r>
      <w:r w:rsidR="00391184" w:rsidRPr="0011513D">
        <w:t>Ostatní dodavatelé jsou zahrnuti v další</w:t>
      </w:r>
      <w:r w:rsidR="001C5FAA">
        <w:t>ch úrovních</w:t>
      </w:r>
      <w:r w:rsidR="00391184" w:rsidRPr="0011513D">
        <w:t xml:space="preserve"> monitoringu. </w:t>
      </w:r>
    </w:p>
    <w:p w:rsidR="00000000" w:rsidRDefault="00391184">
      <w:pPr>
        <w:ind w:firstLine="708"/>
        <w:jc w:val="both"/>
      </w:pPr>
      <w:r w:rsidRPr="0011513D">
        <w:t xml:space="preserve">Druhou částí monitoringu je čerpání informací z veřejně dostupných zdrojů, tedy informace veřejně deklarované dalšími hráči na trhu, zejména z Obchodního rejstříku. V této sekci bylo </w:t>
      </w:r>
      <w:r w:rsidR="003027E0">
        <w:t>v 201</w:t>
      </w:r>
      <w:r w:rsidR="0062174B">
        <w:t>4</w:t>
      </w:r>
      <w:r w:rsidR="003027E0">
        <w:t xml:space="preserve"> </w:t>
      </w:r>
      <w:r w:rsidRPr="0011513D">
        <w:t xml:space="preserve">popsáno </w:t>
      </w:r>
      <w:r w:rsidR="0062174B">
        <w:t>59</w:t>
      </w:r>
      <w:r w:rsidRPr="0011513D">
        <w:t xml:space="preserve"> subjektů a doplněno </w:t>
      </w:r>
      <w:r w:rsidR="001C5FAA">
        <w:t xml:space="preserve">expertním </w:t>
      </w:r>
      <w:r w:rsidRPr="0011513D">
        <w:t xml:space="preserve">odhadem </w:t>
      </w:r>
      <w:r w:rsidR="001C5FAA">
        <w:t>účastníků trhu</w:t>
      </w:r>
      <w:r w:rsidRPr="0011513D">
        <w:t>.</w:t>
      </w:r>
    </w:p>
    <w:p w:rsidR="00000000" w:rsidRDefault="00391184">
      <w:pPr>
        <w:ind w:firstLine="708"/>
        <w:jc w:val="both"/>
      </w:pPr>
      <w:r w:rsidRPr="0011513D">
        <w:t>V případě, že veřejně dostupné zdroje uváděly dvě různé úrovně obratu, byla vzata v potaz nižší varianta. Celkové číslo tedy poskytuje konzervativn</w:t>
      </w:r>
      <w:r w:rsidR="001C5FAA">
        <w:t>ější</w:t>
      </w:r>
      <w:r w:rsidRPr="0011513D">
        <w:t xml:space="preserve"> odhad celkového objemu v této části monitoringu, což má za cíl dále podpořit důvěryhodnost dat.</w:t>
      </w:r>
    </w:p>
    <w:p w:rsidR="00000000" w:rsidRDefault="00391184">
      <w:pPr>
        <w:ind w:firstLine="708"/>
        <w:jc w:val="both"/>
      </w:pPr>
      <w:r w:rsidRPr="0011513D">
        <w:lastRenderedPageBreak/>
        <w:t xml:space="preserve">Třetí část projektu se týká finančního objemu reklamních nosičů vyrobených v zahraničí instalovaných v České Republice. Na toto téma proběhl kvalifikovaný odhad zainteresovaných odborníků z oboru. Objem přímého dovozu se </w:t>
      </w:r>
      <w:r w:rsidR="00C033F4">
        <w:t>za rok 201</w:t>
      </w:r>
      <w:r w:rsidR="005A23FF">
        <w:t>4</w:t>
      </w:r>
      <w:r w:rsidR="00C033F4">
        <w:t xml:space="preserve"> </w:t>
      </w:r>
      <w:r w:rsidRPr="0011513D">
        <w:t>odhaduje na</w:t>
      </w:r>
      <w:r w:rsidR="003027E0">
        <w:t xml:space="preserve"> </w:t>
      </w:r>
      <w:r w:rsidR="00737799" w:rsidRPr="00003DBE">
        <w:t>15</w:t>
      </w:r>
      <w:r w:rsidR="00403E01">
        <w:t xml:space="preserve"> </w:t>
      </w:r>
      <w:r w:rsidR="003027E0" w:rsidRPr="00003DBE">
        <w:t>%</w:t>
      </w:r>
      <w:r w:rsidR="0003783D">
        <w:t xml:space="preserve"> z objemu lokální produkce</w:t>
      </w:r>
      <w:r w:rsidRPr="00003DBE">
        <w:t>,</w:t>
      </w:r>
      <w:r w:rsidR="00195D44">
        <w:t xml:space="preserve"> což činilo</w:t>
      </w:r>
      <w:r w:rsidRPr="0011513D">
        <w:t xml:space="preserve"> </w:t>
      </w:r>
      <w:r w:rsidR="00737799" w:rsidRPr="00737799">
        <w:t>0</w:t>
      </w:r>
      <w:r w:rsidR="003027E0" w:rsidRPr="00737799">
        <w:t>,</w:t>
      </w:r>
      <w:r w:rsidR="005A23FF">
        <w:t>816</w:t>
      </w:r>
      <w:r w:rsidR="005A23FF" w:rsidRPr="0011513D">
        <w:t xml:space="preserve"> </w:t>
      </w:r>
      <w:r w:rsidRPr="0011513D">
        <w:t xml:space="preserve">miliardy Kč.   </w:t>
      </w:r>
    </w:p>
    <w:p w:rsidR="00000000" w:rsidRDefault="00391184">
      <w:pPr>
        <w:ind w:firstLine="708"/>
        <w:jc w:val="both"/>
      </w:pPr>
      <w:r w:rsidRPr="0011513D">
        <w:t xml:space="preserve">Celkový objem investic do reklamy v místě prodeje vznikl součtem uvedených tří částí monitoringu. Celkový </w:t>
      </w:r>
      <w:r>
        <w:t xml:space="preserve">finanční </w:t>
      </w:r>
      <w:r w:rsidRPr="0011513D">
        <w:t>objem</w:t>
      </w:r>
      <w:r>
        <w:t xml:space="preserve"> investovaný do produkce prostředků</w:t>
      </w:r>
      <w:r w:rsidRPr="0011513D">
        <w:t xml:space="preserve"> reklamy v místě prodeje za rok 201</w:t>
      </w:r>
      <w:r w:rsidR="005A23FF">
        <w:t>4</w:t>
      </w:r>
      <w:r w:rsidRPr="0011513D">
        <w:t xml:space="preserve"> v České republice tvořil </w:t>
      </w:r>
      <w:r w:rsidR="005A23FF">
        <w:t>6</w:t>
      </w:r>
      <w:r w:rsidR="00737799" w:rsidRPr="00737799">
        <w:t>,</w:t>
      </w:r>
      <w:r w:rsidR="005A23FF">
        <w:t>26</w:t>
      </w:r>
      <w:r w:rsidRPr="00737799">
        <w:t xml:space="preserve"> miliardy Kč. </w:t>
      </w:r>
      <w:r w:rsidR="003027E0" w:rsidRPr="00737799">
        <w:t>V roce 201</w:t>
      </w:r>
      <w:r w:rsidR="005A23FF">
        <w:t>4</w:t>
      </w:r>
      <w:r w:rsidR="003027E0" w:rsidRPr="00737799">
        <w:t xml:space="preserve"> zaznamenal trh </w:t>
      </w:r>
      <w:r w:rsidRPr="00737799">
        <w:t xml:space="preserve"> </w:t>
      </w:r>
      <w:r w:rsidR="001C5FAA">
        <w:t>opětovný</w:t>
      </w:r>
      <w:r w:rsidR="003027E0" w:rsidRPr="00737799">
        <w:t xml:space="preserve"> </w:t>
      </w:r>
      <w:r w:rsidR="00737799" w:rsidRPr="00737799">
        <w:t>7</w:t>
      </w:r>
      <w:r w:rsidR="003027E0" w:rsidRPr="00737799">
        <w:t>% nárůst.</w:t>
      </w:r>
    </w:p>
    <w:tbl>
      <w:tblPr>
        <w:tblW w:w="10358" w:type="dxa"/>
        <w:tblInd w:w="60" w:type="dxa"/>
        <w:tblCellMar>
          <w:left w:w="70" w:type="dxa"/>
          <w:right w:w="70" w:type="dxa"/>
        </w:tblCellMar>
        <w:tblLook w:val="00A0"/>
      </w:tblPr>
      <w:tblGrid>
        <w:gridCol w:w="4818"/>
        <w:gridCol w:w="1660"/>
        <w:gridCol w:w="1329"/>
        <w:gridCol w:w="1275"/>
        <w:gridCol w:w="1276"/>
      </w:tblGrid>
      <w:tr w:rsidR="003027E0" w:rsidRPr="00C934FD" w:rsidTr="003027E0">
        <w:trPr>
          <w:trHeight w:val="270"/>
        </w:trPr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</w:tcPr>
          <w:p w:rsidR="00000000" w:rsidRDefault="003027E0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3027E0">
              <w:rPr>
                <w:rFonts w:cs="Arial"/>
                <w:b/>
                <w:bCs/>
                <w:sz w:val="20"/>
                <w:szCs w:val="20"/>
                <w:lang w:eastAsia="cs-CZ"/>
              </w:rPr>
              <w:t>Úroveň monitoringu (Net Net v mld. Kč bez DPH)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</w:tr>
      <w:tr w:rsidR="00B30F54" w:rsidRPr="00C934FD" w:rsidTr="00E15C58">
        <w:trPr>
          <w:trHeight w:val="255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3027E0">
              <w:rPr>
                <w:rFonts w:cs="Arial"/>
                <w:sz w:val="20"/>
                <w:szCs w:val="20"/>
                <w:lang w:eastAsia="cs-CZ"/>
              </w:rPr>
              <w:t>1. Deklarované obraty POPAI (sběr OMD)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1,373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1,446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1,398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>1,</w:t>
            </w:r>
            <w:r>
              <w:rPr>
                <w:rFonts w:cs="Arial"/>
                <w:sz w:val="20"/>
                <w:szCs w:val="20"/>
                <w:lang w:eastAsia="cs-CZ"/>
              </w:rPr>
              <w:t>496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B30F54" w:rsidRPr="00C934FD" w:rsidTr="00E15C58">
        <w:trPr>
          <w:trHeight w:val="255"/>
        </w:trPr>
        <w:tc>
          <w:tcPr>
            <w:tcW w:w="4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3027E0">
              <w:rPr>
                <w:rFonts w:cs="Arial"/>
                <w:sz w:val="20"/>
                <w:szCs w:val="20"/>
                <w:lang w:eastAsia="cs-CZ"/>
              </w:rPr>
              <w:t xml:space="preserve">2. SMB, SOHO, Obchodní rejstřík + veřejné zdroje, odhad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3,000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3,028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3,615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>3,</w:t>
            </w:r>
            <w:r>
              <w:rPr>
                <w:rFonts w:cs="Arial"/>
                <w:sz w:val="20"/>
                <w:szCs w:val="20"/>
                <w:lang w:eastAsia="cs-CZ"/>
              </w:rPr>
              <w:t>944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B30F54" w:rsidRPr="00C934FD" w:rsidTr="00E15C58">
        <w:trPr>
          <w:trHeight w:val="270"/>
        </w:trPr>
        <w:tc>
          <w:tcPr>
            <w:tcW w:w="48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3027E0">
              <w:rPr>
                <w:rFonts w:cs="Arial"/>
                <w:sz w:val="20"/>
                <w:szCs w:val="20"/>
                <w:lang w:eastAsia="cs-CZ"/>
              </w:rPr>
              <w:t>3. Dovoz ze zahraničí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0,875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0,895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0,752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sz w:val="20"/>
                <w:szCs w:val="20"/>
                <w:lang w:eastAsia="cs-CZ"/>
              </w:rPr>
              <w:t>0,</w:t>
            </w:r>
            <w:r>
              <w:rPr>
                <w:rFonts w:cs="Arial"/>
                <w:sz w:val="20"/>
                <w:szCs w:val="20"/>
                <w:lang w:eastAsia="cs-CZ"/>
              </w:rPr>
              <w:t>816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B30F54" w:rsidRPr="00C934FD" w:rsidTr="00E15C58">
        <w:trPr>
          <w:trHeight w:val="270"/>
        </w:trPr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3027E0">
              <w:rPr>
                <w:rFonts w:cs="Arial"/>
                <w:b/>
                <w:bCs/>
                <w:sz w:val="20"/>
                <w:szCs w:val="20"/>
                <w:lang w:eastAsia="cs-CZ"/>
              </w:rPr>
              <w:t xml:space="preserve">Celkem 1. + 2. + 3. 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5,247 </w:t>
            </w:r>
            <w:r>
              <w:rPr>
                <w:rFonts w:cs="Arial"/>
                <w:b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5,368 </w:t>
            </w:r>
            <w:r>
              <w:rPr>
                <w:rFonts w:cs="Arial"/>
                <w:b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>5,</w:t>
            </w:r>
            <w:r>
              <w:rPr>
                <w:rFonts w:cs="Arial"/>
                <w:b/>
                <w:sz w:val="20"/>
                <w:szCs w:val="20"/>
                <w:lang w:eastAsia="cs-CZ"/>
              </w:rPr>
              <w:t>765</w:t>
            </w: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bottom"/>
          </w:tcPr>
          <w:p w:rsidR="00000000" w:rsidRDefault="00B30F54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sz w:val="20"/>
                <w:szCs w:val="20"/>
                <w:lang w:eastAsia="cs-CZ"/>
              </w:rPr>
              <w:t>6</w:t>
            </w: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cs="Arial"/>
                <w:b/>
                <w:sz w:val="20"/>
                <w:szCs w:val="20"/>
                <w:lang w:eastAsia="cs-CZ"/>
              </w:rPr>
              <w:t>255</w:t>
            </w: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eastAsia="cs-CZ"/>
              </w:rPr>
              <w:t>mld.</w:t>
            </w:r>
            <w:r w:rsidRPr="00235C6D">
              <w:rPr>
                <w:rFonts w:cs="Arial"/>
                <w:b/>
                <w:sz w:val="20"/>
                <w:szCs w:val="20"/>
                <w:lang w:eastAsia="cs-CZ"/>
              </w:rPr>
              <w:t xml:space="preserve"> Kč</w:t>
            </w:r>
            <w:r w:rsidRPr="00235C6D" w:rsidDel="00B30F54">
              <w:rPr>
                <w:rFonts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000000" w:rsidRDefault="009B1C67">
      <w:pPr>
        <w:pStyle w:val="Nadpis2"/>
        <w:jc w:val="both"/>
        <w:rPr>
          <w:rFonts w:ascii="Calibri" w:hAnsi="Calibri"/>
        </w:rPr>
      </w:pPr>
    </w:p>
    <w:p w:rsidR="00000000" w:rsidRDefault="009B1C67">
      <w:pPr>
        <w:pStyle w:val="Nadpis2"/>
        <w:jc w:val="both"/>
        <w:rPr>
          <w:rFonts w:ascii="Calibri" w:hAnsi="Calibri"/>
          <w:color w:val="FF0000"/>
        </w:rPr>
      </w:pPr>
    </w:p>
    <w:p w:rsidR="00000000" w:rsidRDefault="009B1C67">
      <w:pPr>
        <w:pStyle w:val="Nadpis2"/>
        <w:jc w:val="both"/>
        <w:rPr>
          <w:rFonts w:ascii="Calibri" w:hAnsi="Calibri"/>
          <w:color w:val="FF0000"/>
        </w:rPr>
      </w:pPr>
    </w:p>
    <w:p w:rsidR="00000000" w:rsidRDefault="001B6EA3">
      <w:pPr>
        <w:pStyle w:val="Nadpis2"/>
        <w:jc w:val="both"/>
        <w:rPr>
          <w:rFonts w:ascii="Calibri" w:hAnsi="Calibri"/>
          <w:color w:val="FF0000"/>
        </w:rPr>
      </w:pPr>
      <w:r w:rsidRPr="001B6EA3">
        <w:rPr>
          <w:rFonts w:ascii="Calibri" w:hAnsi="Calibri"/>
          <w:color w:val="FF0000"/>
        </w:rPr>
        <w:t>Struktura reklamy na místě prodeje</w:t>
      </w:r>
    </w:p>
    <w:p w:rsidR="00000000" w:rsidRDefault="009B1C67">
      <w:pPr>
        <w:ind w:firstLine="708"/>
        <w:jc w:val="both"/>
      </w:pPr>
    </w:p>
    <w:p w:rsidR="00000000" w:rsidRDefault="00391184">
      <w:pPr>
        <w:ind w:firstLine="708"/>
        <w:jc w:val="both"/>
      </w:pPr>
      <w:r w:rsidRPr="0011513D">
        <w:t xml:space="preserve">Deklarované údaje, sesbírané v první části od </w:t>
      </w:r>
      <w:r w:rsidR="00C033F4">
        <w:t>vybraných</w:t>
      </w:r>
      <w:r w:rsidR="00C033F4" w:rsidRPr="0011513D">
        <w:t xml:space="preserve"> </w:t>
      </w:r>
      <w:r w:rsidRPr="0011513D">
        <w:t>členů asociace POPAI</w:t>
      </w:r>
      <w:r w:rsidR="00C033F4">
        <w:t xml:space="preserve"> CE</w:t>
      </w:r>
      <w:r w:rsidRPr="0011513D">
        <w:t xml:space="preserve">, umožňují získat podrobnější pohled </w:t>
      </w:r>
      <w:r w:rsidR="0003783D">
        <w:t xml:space="preserve">na </w:t>
      </w:r>
      <w:r w:rsidRPr="0011513D">
        <w:t>strukturu</w:t>
      </w:r>
      <w:r w:rsidR="0003783D">
        <w:t xml:space="preserve"> investic do</w:t>
      </w:r>
      <w:r w:rsidRPr="0011513D">
        <w:t xml:space="preserve"> tradiční POP reklamy.</w:t>
      </w:r>
    </w:p>
    <w:p w:rsidR="00000000" w:rsidRDefault="001B6EA3">
      <w:pPr>
        <w:pStyle w:val="Nadpis3"/>
        <w:jc w:val="both"/>
        <w:rPr>
          <w:rFonts w:ascii="Calibri" w:hAnsi="Calibri"/>
          <w:color w:val="FF0000"/>
        </w:rPr>
      </w:pPr>
      <w:r w:rsidRPr="001B6EA3">
        <w:rPr>
          <w:rFonts w:ascii="Calibri" w:hAnsi="Calibri"/>
          <w:color w:val="FF0000"/>
        </w:rPr>
        <w:t>Typ nosiče:</w:t>
      </w:r>
    </w:p>
    <w:p w:rsidR="00000000" w:rsidRDefault="00391184">
      <w:pPr>
        <w:ind w:firstLine="708"/>
        <w:jc w:val="both"/>
      </w:pPr>
      <w:r w:rsidRPr="0011513D">
        <w:t>Prvním pohledem je rozdělení finančních objemů mezi jednotlivé typy tradičních POP nosičů:</w:t>
      </w:r>
    </w:p>
    <w:p w:rsidR="00000000" w:rsidRDefault="005A23FF">
      <w:pPr>
        <w:jc w:val="both"/>
      </w:pPr>
      <w:r>
        <w:rPr>
          <w:noProof/>
          <w:lang w:eastAsia="cs-CZ"/>
        </w:rPr>
        <w:drawing>
          <wp:inline distT="0" distB="0" distL="0" distR="0">
            <wp:extent cx="5602605" cy="2749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391184">
      <w:pPr>
        <w:ind w:firstLine="708"/>
        <w:jc w:val="both"/>
        <w:rPr>
          <w:b/>
        </w:rPr>
      </w:pPr>
      <w:r w:rsidRPr="0011513D">
        <w:t>Typem umístění, který reprezentuje největší objemy, jsou podlahové POP prostředky s</w:t>
      </w:r>
      <w:r w:rsidR="00A71F10">
        <w:t> </w:t>
      </w:r>
      <w:r w:rsidR="00EB02A5">
        <w:t>37</w:t>
      </w:r>
      <w:r w:rsidR="00A71F10">
        <w:t xml:space="preserve"> </w:t>
      </w:r>
      <w:r w:rsidRPr="00737799">
        <w:t xml:space="preserve">%, následují </w:t>
      </w:r>
      <w:r w:rsidR="00EB02A5">
        <w:t>r</w:t>
      </w:r>
      <w:r w:rsidR="00EB02A5" w:rsidRPr="00737799">
        <w:t xml:space="preserve">egálové POP prostředky </w:t>
      </w:r>
      <w:r w:rsidRPr="00737799">
        <w:t>s</w:t>
      </w:r>
      <w:r w:rsidR="00A71F10">
        <w:t> </w:t>
      </w:r>
      <w:r w:rsidR="00737799" w:rsidRPr="00737799">
        <w:t>2</w:t>
      </w:r>
      <w:r w:rsidR="00EB02A5">
        <w:t>1</w:t>
      </w:r>
      <w:r w:rsidR="00A71F10">
        <w:t xml:space="preserve"> </w:t>
      </w:r>
      <w:r w:rsidR="00C01AE9" w:rsidRPr="00737799">
        <w:t>%</w:t>
      </w:r>
      <w:r w:rsidR="00156E5C" w:rsidRPr="00737799">
        <w:t>.</w:t>
      </w:r>
      <w:r w:rsidR="00C01AE9" w:rsidRPr="00737799">
        <w:t xml:space="preserve"> </w:t>
      </w:r>
      <w:r w:rsidR="00156E5C" w:rsidRPr="00737799">
        <w:t>K pokladnám a obslužným pultům souhrnně směřuje 1</w:t>
      </w:r>
      <w:r w:rsidR="00EB02A5">
        <w:t>3</w:t>
      </w:r>
      <w:r w:rsidR="00A71F10">
        <w:t xml:space="preserve"> </w:t>
      </w:r>
      <w:r w:rsidR="00156E5C" w:rsidRPr="00737799">
        <w:t xml:space="preserve">% objemových prostředků. </w:t>
      </w:r>
      <w:r w:rsidR="00EB02A5">
        <w:t>N</w:t>
      </w:r>
      <w:r w:rsidR="00EB02A5" w:rsidRPr="00737799">
        <w:t xml:space="preserve">ástěnné a fasádové POP prostředky </w:t>
      </w:r>
      <w:r w:rsidR="00156E5C" w:rsidRPr="00737799">
        <w:t>představ</w:t>
      </w:r>
      <w:r w:rsidR="00195D44">
        <w:t>ovaly</w:t>
      </w:r>
      <w:r w:rsidR="00737799" w:rsidRPr="00737799">
        <w:t xml:space="preserve"> v roce 201</w:t>
      </w:r>
      <w:r w:rsidR="005A23FF">
        <w:t>4</w:t>
      </w:r>
      <w:r w:rsidR="00156E5C" w:rsidRPr="00737799">
        <w:t xml:space="preserve"> cca 1</w:t>
      </w:r>
      <w:r w:rsidR="00EB02A5">
        <w:t>3</w:t>
      </w:r>
      <w:r w:rsidR="00A71F10">
        <w:t xml:space="preserve"> </w:t>
      </w:r>
      <w:r w:rsidR="00156E5C" w:rsidRPr="00737799">
        <w:t xml:space="preserve">% investic. </w:t>
      </w:r>
      <w:r w:rsidRPr="00737799">
        <w:t xml:space="preserve"> </w:t>
      </w:r>
    </w:p>
    <w:p w:rsidR="00000000" w:rsidRDefault="009B1C67">
      <w:pPr>
        <w:pStyle w:val="Nadpis3"/>
        <w:jc w:val="both"/>
        <w:rPr>
          <w:rFonts w:ascii="Calibri" w:hAnsi="Calibri"/>
        </w:rPr>
      </w:pPr>
    </w:p>
    <w:p w:rsidR="00000000" w:rsidRDefault="001B6EA3">
      <w:pPr>
        <w:pStyle w:val="Nadpis3"/>
        <w:jc w:val="both"/>
        <w:rPr>
          <w:rFonts w:ascii="Calibri" w:hAnsi="Calibri"/>
          <w:color w:val="FF0000"/>
        </w:rPr>
      </w:pPr>
      <w:r w:rsidRPr="001B6EA3">
        <w:rPr>
          <w:rFonts w:ascii="Calibri" w:hAnsi="Calibri"/>
          <w:color w:val="FF0000"/>
        </w:rPr>
        <w:t>Produktové kategorie</w:t>
      </w:r>
    </w:p>
    <w:p w:rsidR="00000000" w:rsidRDefault="00391184">
      <w:pPr>
        <w:ind w:firstLine="708"/>
        <w:jc w:val="both"/>
      </w:pPr>
      <w:r w:rsidRPr="0011513D">
        <w:t xml:space="preserve">Dalším pohledem jsou produktové kategorie, pro které byly POP nosiče využity. Nejčastější produktovou kategorií jsou podle očekávání potraviny </w:t>
      </w:r>
      <w:r w:rsidRPr="00D43242">
        <w:t>s</w:t>
      </w:r>
      <w:r w:rsidR="001C5FAA">
        <w:t> </w:t>
      </w:r>
      <w:r w:rsidR="00EB02A5">
        <w:t>28</w:t>
      </w:r>
      <w:r w:rsidR="001C5FAA">
        <w:t xml:space="preserve"> </w:t>
      </w:r>
      <w:r w:rsidRPr="00D43242">
        <w:t>% finančního objemu</w:t>
      </w:r>
      <w:r w:rsidR="00EB02A5">
        <w:t>, n</w:t>
      </w:r>
      <w:r w:rsidRPr="00D43242">
        <w:t>ásled</w:t>
      </w:r>
      <w:r w:rsidR="00EB02A5">
        <w:t>ované</w:t>
      </w:r>
      <w:r w:rsidRPr="00D43242">
        <w:t xml:space="preserve"> kosmetik</w:t>
      </w:r>
      <w:r w:rsidR="00EB02A5">
        <w:t>ou</w:t>
      </w:r>
      <w:r w:rsidRPr="00D43242">
        <w:t xml:space="preserve"> (</w:t>
      </w:r>
      <w:r w:rsidR="00737799" w:rsidRPr="00D43242">
        <w:t>1</w:t>
      </w:r>
      <w:r w:rsidR="00EB02A5">
        <w:t>7</w:t>
      </w:r>
      <w:r w:rsidR="00A71F10">
        <w:t xml:space="preserve"> </w:t>
      </w:r>
      <w:r w:rsidRPr="00D43242">
        <w:t>%) a nápoj</w:t>
      </w:r>
      <w:r w:rsidR="00EB02A5">
        <w:t>i</w:t>
      </w:r>
      <w:r w:rsidR="00F21242" w:rsidRPr="00D43242">
        <w:t xml:space="preserve"> (1</w:t>
      </w:r>
      <w:r w:rsidR="00EB02A5">
        <w:t>3</w:t>
      </w:r>
      <w:r w:rsidR="00A71F10">
        <w:t xml:space="preserve"> </w:t>
      </w:r>
      <w:r w:rsidR="00F21242" w:rsidRPr="00D43242">
        <w:t>%)</w:t>
      </w:r>
      <w:r w:rsidRPr="00D43242">
        <w:t xml:space="preserve">. Kategorie </w:t>
      </w:r>
      <w:r w:rsidR="00D43242" w:rsidRPr="00D43242">
        <w:t xml:space="preserve">potravin, </w:t>
      </w:r>
      <w:r w:rsidR="00F21242" w:rsidRPr="00D43242">
        <w:t>farmaceutických přípravků</w:t>
      </w:r>
      <w:r w:rsidRPr="00D43242">
        <w:t xml:space="preserve"> </w:t>
      </w:r>
      <w:r w:rsidR="00EB02A5">
        <w:t xml:space="preserve">a služeb </w:t>
      </w:r>
      <w:r w:rsidRPr="00D43242">
        <w:t>v roc</w:t>
      </w:r>
      <w:r w:rsidR="00C934FD" w:rsidRPr="00D43242">
        <w:t>e 201</w:t>
      </w:r>
      <w:r w:rsidR="005A23FF">
        <w:t>4</w:t>
      </w:r>
      <w:r w:rsidRPr="00D43242">
        <w:t xml:space="preserve"> </w:t>
      </w:r>
      <w:r w:rsidR="00EB02A5">
        <w:t>vzrostly</w:t>
      </w:r>
      <w:r w:rsidRPr="00D43242">
        <w:t>.</w:t>
      </w:r>
      <w:r w:rsidR="00F21242" w:rsidRPr="00D43242">
        <w:t xml:space="preserve"> Naopak </w:t>
      </w:r>
      <w:r w:rsidR="00EB02A5">
        <w:t xml:space="preserve">pokles podíl </w:t>
      </w:r>
      <w:r w:rsidR="00F21242" w:rsidRPr="00D43242">
        <w:t>kategori</w:t>
      </w:r>
      <w:r w:rsidR="00EB02A5">
        <w:t>e</w:t>
      </w:r>
      <w:r w:rsidR="00F21242" w:rsidRPr="00D43242">
        <w:t xml:space="preserve"> nápojů</w:t>
      </w:r>
      <w:r w:rsidR="00EB02A5">
        <w:t xml:space="preserve">, </w:t>
      </w:r>
      <w:r w:rsidR="00D43242" w:rsidRPr="00D43242">
        <w:t>spotřebního zboží</w:t>
      </w:r>
      <w:r w:rsidR="00F21242" w:rsidRPr="00D43242">
        <w:t xml:space="preserve"> a automotive.</w:t>
      </w:r>
      <w:r w:rsidRPr="0011513D">
        <w:t xml:space="preserve"> </w:t>
      </w:r>
    </w:p>
    <w:p w:rsidR="00000000" w:rsidRDefault="009B1C67">
      <w:pPr>
        <w:pStyle w:val="Nadpis3"/>
        <w:jc w:val="both"/>
        <w:rPr>
          <w:rFonts w:ascii="Calibri" w:hAnsi="Calibri"/>
        </w:rPr>
      </w:pPr>
    </w:p>
    <w:p w:rsidR="00000000" w:rsidRDefault="00EB02A5">
      <w:pPr>
        <w:pStyle w:val="Nadpis3"/>
        <w:jc w:val="both"/>
        <w:rPr>
          <w:rFonts w:ascii="Calibri" w:hAnsi="Calibri"/>
        </w:rPr>
      </w:pPr>
      <w:r>
        <w:rPr>
          <w:rFonts w:ascii="Calibri" w:hAnsi="Calibri"/>
          <w:noProof/>
          <w:lang w:eastAsia="cs-CZ"/>
        </w:rPr>
        <w:drawing>
          <wp:inline distT="0" distB="0" distL="0" distR="0">
            <wp:extent cx="5658952" cy="20840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582" cy="2106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9B1C67">
      <w:pPr>
        <w:jc w:val="both"/>
      </w:pPr>
    </w:p>
    <w:p w:rsidR="00000000" w:rsidRDefault="005A23FF">
      <w:pPr>
        <w:jc w:val="both"/>
      </w:pPr>
      <w:r>
        <w:rPr>
          <w:noProof/>
          <w:lang w:eastAsia="cs-CZ"/>
        </w:rPr>
        <w:drawing>
          <wp:inline distT="0" distB="0" distL="0" distR="0">
            <wp:extent cx="5700395" cy="45358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9B1C67">
      <w:pPr>
        <w:jc w:val="both"/>
      </w:pPr>
    </w:p>
    <w:p w:rsidR="00000000" w:rsidRDefault="001B6EA3">
      <w:pPr>
        <w:pStyle w:val="Nadpis3"/>
        <w:jc w:val="both"/>
      </w:pPr>
      <w:r w:rsidRPr="001B6EA3">
        <w:rPr>
          <w:b w:val="0"/>
          <w:bCs w:val="0"/>
          <w:color w:val="FF0000"/>
        </w:rPr>
        <w:t>Produkce permanentních a dočasných POP nosičů</w:t>
      </w:r>
    </w:p>
    <w:p w:rsidR="00000000" w:rsidRDefault="00391184">
      <w:pPr>
        <w:ind w:firstLine="708"/>
        <w:jc w:val="both"/>
      </w:pPr>
      <w:r w:rsidRPr="0011513D">
        <w:t xml:space="preserve">Dalším zajímavým údajem, který vyplývá z projektu monitoringu, je podíl </w:t>
      </w:r>
      <w:r w:rsidR="00B45065">
        <w:t>dočasných</w:t>
      </w:r>
      <w:r w:rsidR="00B45065" w:rsidRPr="0011513D">
        <w:t xml:space="preserve"> </w:t>
      </w:r>
      <w:r w:rsidR="00B45065">
        <w:t xml:space="preserve">versus trvalých </w:t>
      </w:r>
      <w:r w:rsidRPr="0011513D">
        <w:t>nosičů POP</w:t>
      </w:r>
      <w:r w:rsidRPr="00846790">
        <w:t>.</w:t>
      </w:r>
      <w:r w:rsidR="00846790">
        <w:t xml:space="preserve"> </w:t>
      </w:r>
      <w:r w:rsidR="00B45065">
        <w:t>Po loňském vyrov</w:t>
      </w:r>
      <w:r w:rsidR="00EB02A5">
        <w:t>n</w:t>
      </w:r>
      <w:r w:rsidR="00B45065">
        <w:t xml:space="preserve">ání se podíl dočasných prostředků </w:t>
      </w:r>
      <w:r w:rsidR="00EB02A5">
        <w:t xml:space="preserve">opětovně </w:t>
      </w:r>
      <w:r w:rsidR="00B45065">
        <w:t>vrátil</w:t>
      </w:r>
      <w:r w:rsidR="00EB02A5">
        <w:t xml:space="preserve"> </w:t>
      </w:r>
      <w:r w:rsidR="00B45065">
        <w:t>na více než 60</w:t>
      </w:r>
      <w:r w:rsidR="00403E01">
        <w:t xml:space="preserve"> </w:t>
      </w:r>
      <w:r w:rsidR="00B45065">
        <w:t xml:space="preserve">%. </w:t>
      </w:r>
    </w:p>
    <w:p w:rsidR="00000000" w:rsidRDefault="009B1C67">
      <w:pPr>
        <w:ind w:firstLine="708"/>
        <w:jc w:val="both"/>
      </w:pPr>
      <w:r>
        <w:rPr>
          <w:noProof/>
          <w:lang w:eastAsia="cs-CZ"/>
        </w:rPr>
        <w:drawing>
          <wp:inline distT="0" distB="0" distL="0" distR="0">
            <wp:extent cx="6058124" cy="2613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79" cy="2613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9B1C67">
      <w:pPr>
        <w:ind w:firstLine="708"/>
        <w:jc w:val="both"/>
      </w:pPr>
    </w:p>
    <w:p w:rsidR="00000000" w:rsidRDefault="001B6EA3">
      <w:pPr>
        <w:pStyle w:val="Nadpis3"/>
        <w:jc w:val="both"/>
        <w:rPr>
          <w:rFonts w:ascii="Calibri" w:hAnsi="Calibri"/>
          <w:color w:val="FF0000"/>
        </w:rPr>
      </w:pPr>
      <w:r w:rsidRPr="001B6EA3">
        <w:rPr>
          <w:rFonts w:ascii="Calibri" w:hAnsi="Calibri"/>
          <w:color w:val="FF0000"/>
        </w:rPr>
        <w:t>Cílový trh</w:t>
      </w:r>
    </w:p>
    <w:p w:rsidR="00000000" w:rsidRDefault="00391184">
      <w:pPr>
        <w:ind w:firstLine="708"/>
        <w:jc w:val="both"/>
      </w:pPr>
      <w:r w:rsidRPr="00D43242">
        <w:t xml:space="preserve">Přínosné informace uzavírá určení destinace, tedy cílového trhu. Převládá tuzemský trh, pro který je určeno </w:t>
      </w:r>
      <w:r w:rsidR="00F21242" w:rsidRPr="00D43242">
        <w:t>4</w:t>
      </w:r>
      <w:r w:rsidR="00B45065">
        <w:t>8</w:t>
      </w:r>
      <w:r w:rsidR="00A71F10">
        <w:t xml:space="preserve"> </w:t>
      </w:r>
      <w:r w:rsidRPr="00D43242">
        <w:t>% tradičních POP prostředků.</w:t>
      </w:r>
      <w:r w:rsidR="00F21242">
        <w:t xml:space="preserve"> Tento poměr je v posledních letech vcelku stabilní</w:t>
      </w:r>
      <w:r w:rsidR="00195D44">
        <w:t xml:space="preserve">, </w:t>
      </w:r>
      <w:r w:rsidR="00B45065">
        <w:t>postupně však roste</w:t>
      </w:r>
      <w:r w:rsidR="00195D44">
        <w:t xml:space="preserve"> podíl exportu na úkor importu</w:t>
      </w:r>
      <w:r w:rsidR="00F21242">
        <w:t>.</w:t>
      </w:r>
      <w:r w:rsidRPr="0011513D">
        <w:t xml:space="preserve"> </w:t>
      </w:r>
    </w:p>
    <w:p w:rsidR="00000000" w:rsidRDefault="008B64D4">
      <w:pPr>
        <w:ind w:firstLine="708"/>
        <w:jc w:val="both"/>
      </w:pPr>
      <w:r>
        <w:rPr>
          <w:noProof/>
          <w:lang w:eastAsia="cs-CZ"/>
        </w:rPr>
        <w:drawing>
          <wp:inline distT="0" distB="0" distL="0" distR="0">
            <wp:extent cx="5038725" cy="3022283"/>
            <wp:effectExtent l="0" t="0" r="0" b="0"/>
            <wp:docPr id="1" name="obrázek 1" descr="C:\Users\Marcela\AppData\Local\Microsoft\Windows\INetCache\Content.Outlook\0PJ04S6O\OM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AppData\Local\Microsoft\Windows\INetCache\Content.Outlook\0PJ04S6O\OMD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75" cy="302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3783D">
      <w:pPr>
        <w:jc w:val="both"/>
      </w:pPr>
      <w:r>
        <w:t>Pozn.: Vyjádřeno v procentuální hodnotě</w:t>
      </w:r>
    </w:p>
    <w:p w:rsidR="00000000" w:rsidRDefault="005A23FF">
      <w:pPr>
        <w:pStyle w:val="Nadpis2"/>
        <w:jc w:val="both"/>
        <w:rPr>
          <w:rFonts w:ascii="Calibri" w:hAnsi="Calibri"/>
        </w:rPr>
      </w:pPr>
      <w:r>
        <w:rPr>
          <w:rFonts w:ascii="Calibri" w:hAnsi="Calibri"/>
          <w:noProof/>
          <w:lang w:eastAsia="cs-CZ"/>
        </w:rPr>
        <w:lastRenderedPageBreak/>
        <w:drawing>
          <wp:inline distT="0" distB="0" distL="0" distR="0">
            <wp:extent cx="5172075" cy="325064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5" cy="3442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Default="0003783D">
      <w:pPr>
        <w:ind w:left="720" w:firstLine="720"/>
        <w:jc w:val="both"/>
      </w:pPr>
      <w:r>
        <w:t>Pozn.: Vyjádřeno ve finanční hodnotě mld. Kč</w:t>
      </w:r>
    </w:p>
    <w:p w:rsidR="00000000" w:rsidRDefault="009B1C67">
      <w:pPr>
        <w:pStyle w:val="Nadpis2"/>
        <w:jc w:val="both"/>
        <w:rPr>
          <w:rFonts w:ascii="Calibri" w:hAnsi="Calibri"/>
        </w:rPr>
      </w:pPr>
    </w:p>
    <w:p w:rsidR="00000000" w:rsidRDefault="001B6EA3">
      <w:pPr>
        <w:pStyle w:val="Nadpis2"/>
        <w:jc w:val="both"/>
        <w:rPr>
          <w:rFonts w:ascii="Calibri" w:hAnsi="Calibri"/>
          <w:color w:val="FF0000"/>
        </w:rPr>
      </w:pPr>
      <w:r w:rsidRPr="001B6EA3">
        <w:rPr>
          <w:rFonts w:ascii="Calibri" w:hAnsi="Calibri"/>
          <w:color w:val="FF0000"/>
        </w:rPr>
        <w:t>Závěr:</w:t>
      </w:r>
    </w:p>
    <w:p w:rsidR="00000000" w:rsidRDefault="00391184">
      <w:pPr>
        <w:ind w:firstLine="708"/>
        <w:jc w:val="both"/>
      </w:pPr>
      <w:r w:rsidRPr="00D43242">
        <w:t>Celkový objem trhu produkce rek</w:t>
      </w:r>
      <w:r w:rsidR="008F2EA0" w:rsidRPr="00D43242">
        <w:t>lamy v místě prodeje za rok 201</w:t>
      </w:r>
      <w:r w:rsidR="00B45065">
        <w:t>4</w:t>
      </w:r>
      <w:r w:rsidRPr="00D43242">
        <w:t xml:space="preserve"> v </w:t>
      </w:r>
      <w:r w:rsidR="00B45065">
        <w:t>Česku</w:t>
      </w:r>
      <w:r w:rsidRPr="00D43242">
        <w:t xml:space="preserve"> </w:t>
      </w:r>
      <w:r w:rsidR="00B45065">
        <w:t>činil</w:t>
      </w:r>
      <w:r w:rsidR="00B45065" w:rsidRPr="00D43242">
        <w:t xml:space="preserve"> </w:t>
      </w:r>
      <w:r w:rsidR="00B45065">
        <w:t>6</w:t>
      </w:r>
      <w:r w:rsidR="00D43242" w:rsidRPr="00D43242">
        <w:t>,</w:t>
      </w:r>
      <w:r w:rsidR="00B45065">
        <w:t>26</w:t>
      </w:r>
      <w:r w:rsidRPr="00D43242">
        <w:rPr>
          <w:rFonts w:cs="Arial"/>
          <w:bCs/>
          <w:sz w:val="20"/>
          <w:szCs w:val="20"/>
          <w:lang w:eastAsia="cs-CZ"/>
        </w:rPr>
        <w:t xml:space="preserve"> </w:t>
      </w:r>
      <w:r w:rsidRPr="00D43242">
        <w:t xml:space="preserve">miliardy Kč, což je o </w:t>
      </w:r>
      <w:r w:rsidR="00B45065">
        <w:t>8,5</w:t>
      </w:r>
      <w:r w:rsidR="00A71F10">
        <w:t xml:space="preserve"> </w:t>
      </w:r>
      <w:r w:rsidRPr="00D43242">
        <w:t xml:space="preserve">% více než v předcházejícím roce. Objemem investic </w:t>
      </w:r>
      <w:r w:rsidR="00B45065">
        <w:t xml:space="preserve">rostoucí </w:t>
      </w:r>
      <w:r w:rsidRPr="00D43242">
        <w:t>PO</w:t>
      </w:r>
      <w:r w:rsidR="0003783D">
        <w:t xml:space="preserve">P </w:t>
      </w:r>
      <w:r w:rsidRPr="00D43242">
        <w:t xml:space="preserve">trh </w:t>
      </w:r>
      <w:r w:rsidR="00F21242" w:rsidRPr="00D43242">
        <w:t xml:space="preserve">již předstihl </w:t>
      </w:r>
      <w:r w:rsidR="00B45065">
        <w:t xml:space="preserve">soustavně </w:t>
      </w:r>
      <w:r w:rsidR="00F21242" w:rsidRPr="00D43242">
        <w:t>klesající tiskový trh</w:t>
      </w:r>
      <w:r w:rsidRPr="00D43242">
        <w:t>, který se podle odhadů mediáln</w:t>
      </w:r>
      <w:r w:rsidR="00F21242" w:rsidRPr="00D43242">
        <w:t>ích agentur pohyboval</w:t>
      </w:r>
      <w:r w:rsidR="008F2EA0" w:rsidRPr="00D43242">
        <w:t xml:space="preserve"> v roce 201</w:t>
      </w:r>
      <w:r w:rsidR="00B45065">
        <w:t>4</w:t>
      </w:r>
      <w:r w:rsidRPr="00D43242">
        <w:t xml:space="preserve"> </w:t>
      </w:r>
      <w:r w:rsidR="00B45065">
        <w:t xml:space="preserve">kolem </w:t>
      </w:r>
      <w:r w:rsidR="00D43242" w:rsidRPr="00D43242">
        <w:t>4 mld.</w:t>
      </w:r>
      <w:r w:rsidRPr="00D43242">
        <w:t xml:space="preserve"> Kč.</w:t>
      </w:r>
      <w:r w:rsidR="00F21242">
        <w:t xml:space="preserve"> </w:t>
      </w:r>
      <w:r w:rsidRPr="0011513D">
        <w:t xml:space="preserve">Díky společnému úsilí POPAI CE a mediální agentury OMD je </w:t>
      </w:r>
      <w:r w:rsidR="00B45065">
        <w:t xml:space="preserve">v současnosti </w:t>
      </w:r>
      <w:r w:rsidRPr="0011513D">
        <w:t xml:space="preserve">k dispozici kontinuální datový zdroj umožňující popsat velikost, strukturu trhu a vývoj investic </w:t>
      </w:r>
      <w:r w:rsidR="0003783D">
        <w:t xml:space="preserve">do reklamy </w:t>
      </w:r>
      <w:r w:rsidRPr="0011513D">
        <w:t>v místě prodeje.</w:t>
      </w:r>
    </w:p>
    <w:p w:rsidR="00000000" w:rsidRDefault="009B1C67">
      <w:pPr>
        <w:jc w:val="both"/>
      </w:pPr>
    </w:p>
    <w:p w:rsidR="00000000" w:rsidRDefault="00391184">
      <w:pPr>
        <w:jc w:val="both"/>
      </w:pPr>
      <w:r w:rsidRPr="00A71F10">
        <w:rPr>
          <w:b/>
        </w:rPr>
        <w:t>O společnosti POPAI CE:</w:t>
      </w:r>
      <w:r w:rsidRPr="0011513D">
        <w:t xml:space="preserve"> </w:t>
      </w:r>
      <w:r w:rsidR="00A71F10">
        <w:t xml:space="preserve"> </w:t>
      </w:r>
    </w:p>
    <w:p w:rsidR="00000000" w:rsidRDefault="00391184">
      <w:pPr>
        <w:jc w:val="both"/>
      </w:pPr>
      <w:r w:rsidRPr="0011513D">
        <w:t>POPAI CENTRAL EUROPE je středoevropskou pobočkou světové asociace POPAI, reprezentuje obor marketingu v místech prodeje (marketing at-retail) a pracuje pro profesionály, kterých se tento obor dotýká.</w:t>
      </w:r>
    </w:p>
    <w:p w:rsidR="00000000" w:rsidRDefault="00391184">
      <w:pPr>
        <w:jc w:val="both"/>
      </w:pPr>
      <w:r w:rsidRPr="0011513D">
        <w:t>Posláním POPAI CENTRAL EUROPE je vytvořit komunikační platformu pro výrobce a dodavatele komunikačních prostředků v in-store, digitálních médií, zadavatele reklamy, reklamní agentury a zástupce maloobchodu, neustále je vzdělávat, realizovat průzkumy, poskytovat a zpřístupňovat pro ně informace, organizovat odborné akce a diskuzní setkání</w:t>
      </w:r>
      <w:r w:rsidR="00A71F10">
        <w:t>,</w:t>
      </w:r>
      <w:r w:rsidRPr="0011513D">
        <w:t xml:space="preserve"> a budovat tak dobré vztahy v in-store marketingové komunikaci, podporovat kulturu a další rozvoj oboru marketing at-retail. </w:t>
      </w:r>
    </w:p>
    <w:p w:rsidR="00942288" w:rsidRPr="00A71F10" w:rsidRDefault="00391184" w:rsidP="00942288">
      <w:pPr>
        <w:rPr>
          <w:b/>
        </w:rPr>
      </w:pPr>
      <w:r w:rsidRPr="00A71F10">
        <w:rPr>
          <w:b/>
        </w:rPr>
        <w:t xml:space="preserve">Kontakt a více informací: </w:t>
      </w:r>
    </w:p>
    <w:p w:rsidR="00000000" w:rsidRDefault="00391184">
      <w:r w:rsidRPr="0011513D">
        <w:t>Daniela Krofiánová, General Manager</w:t>
      </w:r>
      <w:r w:rsidRPr="0011513D">
        <w:br/>
        <w:t>Pod Lesem 132</w:t>
      </w:r>
      <w:r w:rsidRPr="0011513D">
        <w:br/>
        <w:t>500 11 Hradec Králové</w:t>
      </w:r>
      <w:r w:rsidRPr="0011513D">
        <w:br/>
        <w:t>tel.: +420 775 989 853</w:t>
      </w:r>
      <w:r w:rsidRPr="0011513D">
        <w:br/>
        <w:t xml:space="preserve">e-mail: </w:t>
      </w:r>
      <w:hyperlink r:id="rId13" w:history="1">
        <w:r w:rsidRPr="0011513D">
          <w:rPr>
            <w:rStyle w:val="Hypertextovodkaz"/>
          </w:rPr>
          <w:t>dkrofianova@popai.cz</w:t>
        </w:r>
      </w:hyperlink>
    </w:p>
    <w:p w:rsidR="00000000" w:rsidRDefault="001B6EA3">
      <w:pPr>
        <w:jc w:val="both"/>
        <w:rPr>
          <w:b/>
          <w:color w:val="FF0000"/>
        </w:rPr>
      </w:pPr>
      <w:r w:rsidRPr="001B6EA3">
        <w:rPr>
          <w:b/>
          <w:color w:val="FF0000"/>
        </w:rPr>
        <w:lastRenderedPageBreak/>
        <w:t>O společnosti OMD Czech, a.s. :</w:t>
      </w:r>
    </w:p>
    <w:p w:rsidR="00000000" w:rsidRDefault="00391184">
      <w:pPr>
        <w:jc w:val="both"/>
      </w:pPr>
      <w:r w:rsidRPr="0011513D">
        <w:t xml:space="preserve">OMD Czech je součástí jedné z největších celosvětových agentur specializovaných na mediální komunikaci, která investuje miliardy dolarů prostřednictvím více </w:t>
      </w:r>
      <w:r w:rsidR="00A71F10">
        <w:t>než</w:t>
      </w:r>
      <w:r w:rsidRPr="0011513D">
        <w:t xml:space="preserve"> 140 poboček v 80 zemích světa.  Organizace, do které přicházejí dodavatelé z médií nabízet svoje produkty a koncepty, ve které chtějí nejlepší a nejbystřejší lidé budovat svoji kariéru, a na kterou odborná veřejnost pohlíží jako </w:t>
      </w:r>
      <w:r w:rsidR="0003783D">
        <w:t xml:space="preserve">na </w:t>
      </w:r>
      <w:r w:rsidRPr="0011513D">
        <w:t xml:space="preserve">standard, se kterým se všichni porovnávají.  Více </w:t>
      </w:r>
      <w:proofErr w:type="gramStart"/>
      <w:r w:rsidRPr="0011513D">
        <w:t>na</w:t>
      </w:r>
      <w:proofErr w:type="gramEnd"/>
      <w:r w:rsidRPr="0011513D">
        <w:t xml:space="preserve">: </w:t>
      </w:r>
      <w:hyperlink r:id="rId14" w:history="1">
        <w:r w:rsidRPr="0011513D">
          <w:rPr>
            <w:rStyle w:val="Hypertextovodkaz"/>
          </w:rPr>
          <w:t>www.omd.cz</w:t>
        </w:r>
      </w:hyperlink>
    </w:p>
    <w:p w:rsidR="00000000" w:rsidRDefault="009B1C67">
      <w:pPr>
        <w:jc w:val="both"/>
      </w:pPr>
    </w:p>
    <w:p w:rsidR="00000000" w:rsidRDefault="00391184">
      <w:pPr>
        <w:jc w:val="both"/>
      </w:pPr>
      <w:r w:rsidRPr="0011513D">
        <w:t>Použité zkratky:</w:t>
      </w:r>
    </w:p>
    <w:p w:rsidR="00000000" w:rsidRDefault="00391184">
      <w:pPr>
        <w:jc w:val="both"/>
      </w:pPr>
      <w:r w:rsidRPr="0011513D">
        <w:t>PO</w:t>
      </w:r>
      <w:bookmarkStart w:id="0" w:name="_GoBack"/>
      <w:bookmarkEnd w:id="0"/>
      <w:r w:rsidRPr="0011513D">
        <w:t>P – point of purchase, místo nákupu</w:t>
      </w:r>
    </w:p>
    <w:p w:rsidR="00000000" w:rsidRDefault="00391184">
      <w:pPr>
        <w:jc w:val="both"/>
      </w:pPr>
      <w:r w:rsidRPr="0011513D">
        <w:t>SMB – Small and Medium Business</w:t>
      </w:r>
    </w:p>
    <w:p w:rsidR="00000000" w:rsidRDefault="00391184">
      <w:pPr>
        <w:jc w:val="both"/>
      </w:pPr>
      <w:r w:rsidRPr="0011513D">
        <w:t>SOHO – Small Office, Home Office</w:t>
      </w:r>
    </w:p>
    <w:p w:rsidR="00000000" w:rsidRDefault="009B1C67">
      <w:pPr>
        <w:jc w:val="both"/>
      </w:pPr>
    </w:p>
    <w:p w:rsidR="009B1C67" w:rsidRDefault="009B1C67">
      <w:pPr>
        <w:jc w:val="both"/>
      </w:pPr>
    </w:p>
    <w:sectPr w:rsidR="009B1C67" w:rsidSect="00942288">
      <w:head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7" w:rsidRDefault="009B1C67" w:rsidP="00942288">
      <w:pPr>
        <w:spacing w:after="0" w:line="240" w:lineRule="auto"/>
      </w:pPr>
      <w:r>
        <w:separator/>
      </w:r>
    </w:p>
  </w:endnote>
  <w:endnote w:type="continuationSeparator" w:id="0">
    <w:p w:rsidR="009B1C67" w:rsidRDefault="009B1C67" w:rsidP="009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7" w:rsidRDefault="009B1C67" w:rsidP="00942288">
      <w:pPr>
        <w:spacing w:after="0" w:line="240" w:lineRule="auto"/>
      </w:pPr>
      <w:r>
        <w:separator/>
      </w:r>
    </w:p>
  </w:footnote>
  <w:footnote w:type="continuationSeparator" w:id="0">
    <w:p w:rsidR="009B1C67" w:rsidRDefault="009B1C67" w:rsidP="0094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365B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60pt">
          <v:imagedata r:id="rId1" o:title="Hlavička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dra">
    <w15:presenceInfo w15:providerId="None" w15:userId="Jind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91184"/>
    <w:rsid w:val="00003DBE"/>
    <w:rsid w:val="0003783D"/>
    <w:rsid w:val="000957E2"/>
    <w:rsid w:val="00156E5C"/>
    <w:rsid w:val="00195D44"/>
    <w:rsid w:val="001B6EA3"/>
    <w:rsid w:val="001C5FAA"/>
    <w:rsid w:val="00235C6D"/>
    <w:rsid w:val="003027E0"/>
    <w:rsid w:val="00391184"/>
    <w:rsid w:val="003F4757"/>
    <w:rsid w:val="00403E01"/>
    <w:rsid w:val="004910E9"/>
    <w:rsid w:val="00501F02"/>
    <w:rsid w:val="0051527B"/>
    <w:rsid w:val="005765EE"/>
    <w:rsid w:val="005956EB"/>
    <w:rsid w:val="005A23FF"/>
    <w:rsid w:val="0062174B"/>
    <w:rsid w:val="006867EE"/>
    <w:rsid w:val="006E5B76"/>
    <w:rsid w:val="00737799"/>
    <w:rsid w:val="00781D88"/>
    <w:rsid w:val="0084365B"/>
    <w:rsid w:val="00846790"/>
    <w:rsid w:val="00852DD2"/>
    <w:rsid w:val="008B03E4"/>
    <w:rsid w:val="008B64D4"/>
    <w:rsid w:val="008F2EA0"/>
    <w:rsid w:val="00942288"/>
    <w:rsid w:val="00957718"/>
    <w:rsid w:val="009672C7"/>
    <w:rsid w:val="009B1C67"/>
    <w:rsid w:val="009C298A"/>
    <w:rsid w:val="00A71F10"/>
    <w:rsid w:val="00AA5123"/>
    <w:rsid w:val="00AB1367"/>
    <w:rsid w:val="00B17333"/>
    <w:rsid w:val="00B30F54"/>
    <w:rsid w:val="00B45065"/>
    <w:rsid w:val="00B51BF3"/>
    <w:rsid w:val="00B567CD"/>
    <w:rsid w:val="00B8474B"/>
    <w:rsid w:val="00C01AE9"/>
    <w:rsid w:val="00C033F4"/>
    <w:rsid w:val="00C8341B"/>
    <w:rsid w:val="00C934FD"/>
    <w:rsid w:val="00D43242"/>
    <w:rsid w:val="00D624B7"/>
    <w:rsid w:val="00E31CE5"/>
    <w:rsid w:val="00EB02A5"/>
    <w:rsid w:val="00F21242"/>
    <w:rsid w:val="00F627DE"/>
    <w:rsid w:val="00F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184"/>
    <w:rPr>
      <w:rFonts w:ascii="Calibri" w:eastAsia="Calibri" w:hAnsi="Calibri" w:cs="Times New Roman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9118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91184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391184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91184"/>
    <w:rPr>
      <w:rFonts w:ascii="Cambria" w:eastAsia="MS Gothic" w:hAnsi="Cambria" w:cs="Times New Roman"/>
      <w:b/>
      <w:bCs/>
      <w:color w:val="365F91"/>
      <w:sz w:val="28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9"/>
    <w:rsid w:val="00391184"/>
    <w:rPr>
      <w:rFonts w:ascii="Cambria" w:eastAsia="MS Gothic" w:hAnsi="Cambria" w:cs="Times New Roman"/>
      <w:b/>
      <w:bCs/>
      <w:color w:val="4F81BD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rsid w:val="00391184"/>
    <w:rPr>
      <w:rFonts w:ascii="Cambria" w:eastAsia="MS Gothic" w:hAnsi="Cambria" w:cs="Times New Roman"/>
      <w:b/>
      <w:bCs/>
      <w:color w:val="4F81BD"/>
      <w:lang w:val="cs-CZ"/>
    </w:rPr>
  </w:style>
  <w:style w:type="character" w:styleId="Hypertextovodkaz">
    <w:name w:val="Hyperlink"/>
    <w:uiPriority w:val="99"/>
    <w:rsid w:val="0039118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184"/>
    <w:rPr>
      <w:rFonts w:ascii="Tahoma" w:eastAsia="Calibri" w:hAnsi="Tahoma" w:cs="Tahoma"/>
      <w:sz w:val="16"/>
      <w:szCs w:val="16"/>
      <w:lang w:val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51BF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51BF3"/>
    <w:rPr>
      <w:rFonts w:ascii="Lucida Grande" w:eastAsia="Calibri" w:hAnsi="Lucida Grande" w:cs="Lucida Grande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94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288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4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288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krofianova@popai.cz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m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CF9F-3A60-49AE-83EC-DAAB7B4C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OMD Czech, a.s.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Škoda</dc:creator>
  <cp:lastModifiedBy>Marcela</cp:lastModifiedBy>
  <cp:revision>2</cp:revision>
  <cp:lastPrinted>2015-12-17T11:40:00Z</cp:lastPrinted>
  <dcterms:created xsi:type="dcterms:W3CDTF">2015-12-21T13:33:00Z</dcterms:created>
  <dcterms:modified xsi:type="dcterms:W3CDTF">2015-12-21T13:33:00Z</dcterms:modified>
</cp:coreProperties>
</file>